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9764D4" w14:textId="2CCFB780" w:rsidR="003777FE" w:rsidRDefault="003777FE" w:rsidP="003777FE">
      <w:pPr>
        <w:pStyle w:val="CRCoverPage"/>
        <w:tabs>
          <w:tab w:val="right" w:pos="9639"/>
        </w:tabs>
        <w:spacing w:after="0"/>
        <w:rPr>
          <w:b/>
          <w:noProof/>
          <w:color w:val="0000FF"/>
          <w:sz w:val="24"/>
          <w:szCs w:val="24"/>
          <w:lang w:val="en-US"/>
        </w:rPr>
      </w:pPr>
      <w:bookmarkStart w:id="0" w:name="_Hlk491845607"/>
      <w:r>
        <w:rPr>
          <w:rFonts w:cs="Arial"/>
          <w:b/>
          <w:sz w:val="24"/>
          <w:szCs w:val="24"/>
        </w:rPr>
        <w:t>3GPP TSG-RAN WG4 Meeting #</w:t>
      </w:r>
      <w:r w:rsidR="002127E2">
        <w:rPr>
          <w:rFonts w:cs="Arial"/>
          <w:b/>
          <w:sz w:val="24"/>
          <w:szCs w:val="24"/>
          <w:lang w:eastAsia="ja-JP"/>
        </w:rPr>
        <w:t>89</w:t>
      </w:r>
      <w:r>
        <w:rPr>
          <w:b/>
          <w:i/>
          <w:noProof/>
          <w:color w:val="0000FF"/>
          <w:sz w:val="24"/>
          <w:szCs w:val="24"/>
        </w:rPr>
        <w:tab/>
      </w:r>
      <w:r w:rsidR="00A83F3A" w:rsidRPr="00A83F3A">
        <w:rPr>
          <w:rFonts w:cs="Arial"/>
          <w:b/>
          <w:iCs/>
          <w:sz w:val="24"/>
          <w:szCs w:val="24"/>
        </w:rPr>
        <w:t>R4-1814973</w:t>
      </w:r>
    </w:p>
    <w:p w14:paraId="4F03FE3E" w14:textId="0F2514CB" w:rsidR="003777FE" w:rsidRDefault="002127E2" w:rsidP="003777FE">
      <w:pPr>
        <w:pStyle w:val="Header"/>
        <w:tabs>
          <w:tab w:val="right" w:pos="9900"/>
          <w:tab w:val="right" w:pos="13323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Spokane</w:t>
      </w:r>
      <w:r w:rsidR="0042109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USA, 12</w:t>
      </w:r>
      <w:r w:rsidR="0042109F" w:rsidRPr="0042109F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16</w:t>
      </w:r>
      <w:r w:rsidR="00453BA5" w:rsidRPr="00453BA5">
        <w:rPr>
          <w:rFonts w:cs="Arial"/>
          <w:sz w:val="24"/>
          <w:szCs w:val="24"/>
          <w:vertAlign w:val="superscript"/>
        </w:rPr>
        <w:t>th</w:t>
      </w:r>
      <w:r w:rsidR="00564B2E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Nov</w:t>
      </w:r>
      <w:r w:rsidR="003777FE">
        <w:rPr>
          <w:rFonts w:cs="Arial"/>
          <w:sz w:val="24"/>
          <w:szCs w:val="24"/>
        </w:rPr>
        <w:t xml:space="preserve"> 201</w:t>
      </w:r>
      <w:bookmarkEnd w:id="0"/>
      <w:r w:rsidR="0015000E">
        <w:rPr>
          <w:rFonts w:cs="Arial"/>
          <w:sz w:val="24"/>
          <w:szCs w:val="24"/>
        </w:rPr>
        <w:t>8</w:t>
      </w:r>
    </w:p>
    <w:p w14:paraId="26F858F2" w14:textId="77777777" w:rsidR="0043450E" w:rsidRPr="003777FE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  <w:lang w:val="en-US"/>
        </w:rPr>
      </w:pPr>
    </w:p>
    <w:p w14:paraId="2078F563" w14:textId="18C630DB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>, Nokia Shanghai Bell</w:t>
      </w:r>
    </w:p>
    <w:p w14:paraId="5B6A96A7" w14:textId="4F9BAEF3" w:rsidR="0043450E" w:rsidRPr="000B3BF3" w:rsidRDefault="0043450E" w:rsidP="0043450E">
      <w:pPr>
        <w:rPr>
          <w:sz w:val="22"/>
          <w:lang w:val="en-US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0B3BF3" w:rsidRPr="000B3BF3">
        <w:rPr>
          <w:sz w:val="22"/>
        </w:rPr>
        <w:t>On DC_(n)71AA new A-MPR approach and intraband contiguous EN-DC Pcmax</w:t>
      </w:r>
    </w:p>
    <w:p w14:paraId="23226DA5" w14:textId="5DA31C24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B3BF3" w:rsidRPr="000B3BF3">
        <w:rPr>
          <w:b/>
          <w:sz w:val="22"/>
        </w:rPr>
        <w:t>7.6.4.3.3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50EC7BF9" w14:textId="62113AD0" w:rsidR="00BF2656" w:rsidRDefault="00BF2656" w:rsidP="00BF2656">
      <w:r>
        <w:t xml:space="preserve">This contribution presents our simulation results for DC_(n)71AA A-MPR with an assumption that E-UTRA carrier follows E-UTRA </w:t>
      </w:r>
      <w:r w:rsidR="00263515">
        <w:t>standalone</w:t>
      </w:r>
      <w:r>
        <w:t xml:space="preserve"> MPR. Results are presented as allocation ratio based A-MPR for NR where NR calculates allocation ratio based on E-UTRA and NR allocation. Many NR allocation ratio based A-MPR curves are shown for various E-UTRA power levels.</w:t>
      </w:r>
    </w:p>
    <w:p w14:paraId="45B6C3EA" w14:textId="67B888F2" w:rsidR="004F42AB" w:rsidRDefault="00C25D60" w:rsidP="00C25D60">
      <w:pPr>
        <w:pStyle w:val="Heading1"/>
      </w:pPr>
      <w:r>
        <w:t>2</w:t>
      </w:r>
      <w:r>
        <w:tab/>
      </w:r>
      <w:r w:rsidR="004F42AB">
        <w:t>Discussion</w:t>
      </w:r>
    </w:p>
    <w:p w14:paraId="73BC7386" w14:textId="671C881B" w:rsidR="00C25D60" w:rsidRDefault="004F42AB" w:rsidP="004F42AB">
      <w:pPr>
        <w:pStyle w:val="Heading2"/>
      </w:pPr>
      <w:r>
        <w:t xml:space="preserve">2.1. </w:t>
      </w:r>
      <w:r w:rsidR="00C25D60">
        <w:t>Simulation assumptions</w:t>
      </w:r>
    </w:p>
    <w:p w14:paraId="2D2A4F37" w14:textId="4984B335" w:rsidR="00C25D60" w:rsidRDefault="00C25D60" w:rsidP="00C25D60"/>
    <w:p w14:paraId="6712E099" w14:textId="046EFB5C" w:rsidR="00F06320" w:rsidRDefault="00F06320" w:rsidP="00C25D60">
      <w:r>
        <w:t>LTE takes LTE MPR as if</w:t>
      </w:r>
      <w:r w:rsidR="00D870BB">
        <w:t xml:space="preserve"> transmitted alone.</w:t>
      </w:r>
      <w:r w:rsidR="000E3A09">
        <w:t xml:space="preserve"> </w:t>
      </w:r>
      <w:r w:rsidR="00070401">
        <w:t>LTE power is limited to given level 22…14 dBm.</w:t>
      </w:r>
    </w:p>
    <w:p w14:paraId="7D26B77B" w14:textId="46D25639" w:rsidR="00F06320" w:rsidRDefault="00F47731" w:rsidP="00C25D60">
      <w:r>
        <w:t xml:space="preserve">Simulation </w:t>
      </w:r>
      <w:r w:rsidR="00A13DD9">
        <w:t>determines</w:t>
      </w:r>
      <w:r>
        <w:t xml:space="preserve"> </w:t>
      </w:r>
      <w:r w:rsidR="00A13DD9">
        <w:t xml:space="preserve">the </w:t>
      </w:r>
      <w:r w:rsidR="00F06320">
        <w:t>NR A-MPR to meet emission limits and/or keep total power within power class limit.</w:t>
      </w:r>
    </w:p>
    <w:p w14:paraId="39782AF2" w14:textId="1C9E60CE" w:rsidR="00C25D60" w:rsidRDefault="00C25D60" w:rsidP="00C25D60">
      <w:r>
        <w:t xml:space="preserve">LTE modulation: </w:t>
      </w:r>
      <w:r w:rsidR="00F06320">
        <w:t xml:space="preserve">always </w:t>
      </w:r>
      <w:r>
        <w:t>QPSK</w:t>
      </w:r>
      <w:r w:rsidR="000C4F05">
        <w:t xml:space="preserve"> (to ma</w:t>
      </w:r>
      <w:r w:rsidR="00AF72B6">
        <w:t>ximize LTE power, hence minimizing the</w:t>
      </w:r>
      <w:r w:rsidR="000C4F05">
        <w:t xml:space="preserve"> power</w:t>
      </w:r>
      <w:r w:rsidR="008E3896">
        <w:t xml:space="preserve"> quota left for NR</w:t>
      </w:r>
      <w:r w:rsidR="000C4F05">
        <w:t>)</w:t>
      </w:r>
    </w:p>
    <w:p w14:paraId="02F47CCE" w14:textId="6471C1D0" w:rsidR="0025337D" w:rsidRDefault="00D74D50" w:rsidP="00C25D60">
      <w:r>
        <w:t>NR subcarrier spacing</w:t>
      </w:r>
      <w:r w:rsidR="0025337D">
        <w:t>: 15 kHz</w:t>
      </w:r>
    </w:p>
    <w:p w14:paraId="04218EF6" w14:textId="0B432ABA" w:rsidR="00C25D60" w:rsidRDefault="00C25D60" w:rsidP="00C25D60">
      <w:r>
        <w:t>NR modulation: QPSK, 16-QAM, 64-QAM, 256-QAM</w:t>
      </w:r>
    </w:p>
    <w:p w14:paraId="177F96DA" w14:textId="77777777" w:rsidR="00F06320" w:rsidRDefault="00F06320" w:rsidP="00F06320">
      <w:r>
        <w:t>Carrier suppression 28 dB</w:t>
      </w:r>
    </w:p>
    <w:p w14:paraId="14CAD5DB" w14:textId="77777777" w:rsidR="00F06320" w:rsidRDefault="00F06320" w:rsidP="00F06320">
      <w:r>
        <w:t>Image suppression 28 dB (256-QAM: 33.7 dB)</w:t>
      </w:r>
    </w:p>
    <w:p w14:paraId="2ACACB15" w14:textId="05485E35" w:rsidR="00C25D60" w:rsidRDefault="00C25D60" w:rsidP="00C25D60">
      <w:r>
        <w:t xml:space="preserve">EN-DC ACLR according to 38.101-3, </w:t>
      </w:r>
    </w:p>
    <w:p w14:paraId="40BDDAAA" w14:textId="151DB622" w:rsidR="00C25D60" w:rsidRDefault="00C25D60" w:rsidP="00C25D60">
      <w:r>
        <w:t xml:space="preserve">SEM according to 38.101-3, </w:t>
      </w:r>
    </w:p>
    <w:p w14:paraId="4C90C937" w14:textId="73B01669" w:rsidR="00C25D60" w:rsidRDefault="00C25D60" w:rsidP="00C25D60">
      <w:r>
        <w:t>General spurious emission limit from 38.101-1</w:t>
      </w:r>
    </w:p>
    <w:p w14:paraId="27C6D555" w14:textId="39D7F81D" w:rsidR="00263515" w:rsidRDefault="00263515" w:rsidP="00263515">
      <w:r>
        <w:t>Band 12 and 29 co-existence according to specification and filter assumption as in previous agreements.</w:t>
      </w:r>
    </w:p>
    <w:p w14:paraId="5309FBF4" w14:textId="3B04FDAD" w:rsidR="000364CE" w:rsidRDefault="000364CE" w:rsidP="000364CE">
      <w:r>
        <w:t>EVM and in-band emissions ignored.</w:t>
      </w:r>
    </w:p>
    <w:p w14:paraId="486C8DCB" w14:textId="0F15090E" w:rsidR="000364CE" w:rsidRDefault="000364CE" w:rsidP="00C25D60"/>
    <w:p w14:paraId="35092319" w14:textId="30ADBD95" w:rsidR="004F42AB" w:rsidRDefault="004F42AB" w:rsidP="004F42AB">
      <w:pPr>
        <w:pStyle w:val="Heading2"/>
      </w:pPr>
      <w:r>
        <w:t>2.2 Simulation results</w:t>
      </w:r>
    </w:p>
    <w:p w14:paraId="144EC9B5" w14:textId="6B709A96" w:rsidR="00070401" w:rsidRPr="00070401" w:rsidRDefault="00070401" w:rsidP="00070401">
      <w:r>
        <w:t>In the simulations</w:t>
      </w:r>
      <w:r w:rsidR="00E63CC9">
        <w:t xml:space="preserve">, </w:t>
      </w:r>
      <w:r w:rsidR="008443E2">
        <w:t xml:space="preserve">LTE MPR </w:t>
      </w:r>
      <w:r w:rsidR="00F77318">
        <w:t>is</w:t>
      </w:r>
      <w:r w:rsidR="008443E2">
        <w:t xml:space="preserve"> applied to the LTE carrier</w:t>
      </w:r>
      <w:r w:rsidR="00811B9E">
        <w:t xml:space="preserve"> to protect LTE performance. </w:t>
      </w:r>
      <w:r w:rsidR="0073142D">
        <w:t xml:space="preserve">To balance between LTE and NR, </w:t>
      </w:r>
      <w:r>
        <w:t xml:space="preserve">LTE power </w:t>
      </w:r>
      <w:r w:rsidR="00F77318">
        <w:t xml:space="preserve">is </w:t>
      </w:r>
      <w:r>
        <w:t>limited to given levels 22, 21, …</w:t>
      </w:r>
      <w:r w:rsidR="00613730">
        <w:t xml:space="preserve">14 dBm. The remaining power </w:t>
      </w:r>
      <w:r w:rsidR="00F77318">
        <w:t xml:space="preserve">is </w:t>
      </w:r>
      <w:r w:rsidR="00613730">
        <w:t xml:space="preserve">available to NR given that emission limits are met. </w:t>
      </w:r>
      <w:r w:rsidR="00DD181C">
        <w:t>If LTE transmits at full 23 dBm power, there is no power left for NR, thus NR is dropped.</w:t>
      </w:r>
      <w:r w:rsidR="00527FC0">
        <w:t xml:space="preserve"> This obvious case was not simulated.</w:t>
      </w:r>
    </w:p>
    <w:p w14:paraId="52D4B556" w14:textId="0F2C1E84" w:rsidR="00850435" w:rsidRDefault="0042397F" w:rsidP="00C96723">
      <w:r>
        <w:t xml:space="preserve">Simulated values for NR A-MPR </w:t>
      </w:r>
      <w:r w:rsidR="00FF59E8">
        <w:t>(</w:t>
      </w:r>
      <w:r w:rsidR="006E6E83">
        <w:t>A-MPR</w:t>
      </w:r>
      <w:r w:rsidR="006E6E83" w:rsidRPr="006E6E83">
        <w:rPr>
          <w:vertAlign w:val="subscript"/>
        </w:rPr>
        <w:t>NR</w:t>
      </w:r>
      <w:r w:rsidR="00FF59E8">
        <w:t>)</w:t>
      </w:r>
      <w:r w:rsidR="006E6E83">
        <w:t xml:space="preserve"> </w:t>
      </w:r>
      <w:r w:rsidR="00C96723">
        <w:t>are presented in Fig.</w:t>
      </w:r>
      <w:r w:rsidR="003D4521">
        <w:t xml:space="preserve"> 1-5</w:t>
      </w:r>
      <w:r w:rsidR="00850435">
        <w:t xml:space="preserve"> as function of </w:t>
      </w:r>
      <w:r w:rsidR="001030F7">
        <w:t xml:space="preserve">the </w:t>
      </w:r>
      <w:r w:rsidR="00850435">
        <w:t>DC allocation ratio</w:t>
      </w:r>
    </w:p>
    <w:p w14:paraId="668495FC" w14:textId="2D172232" w:rsidR="00850435" w:rsidRDefault="00A3699D" w:rsidP="00C9672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DC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CRB,LTE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CRB,NR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RB,LTE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RB,NR</m:t>
                  </m:r>
                </m:sub>
              </m:sSub>
            </m:den>
          </m:f>
          <m:r>
            <w:rPr>
              <w:rFonts w:ascii="Cambria Math" w:hAnsi="Cambria Math"/>
            </w:rPr>
            <m:t>.</m:t>
          </m:r>
        </m:oMath>
      </m:oMathPara>
    </w:p>
    <w:p w14:paraId="3116307F" w14:textId="6951404C" w:rsidR="00334AEE" w:rsidRDefault="000E3A09" w:rsidP="00C96723">
      <w:r>
        <w:t xml:space="preserve">It can be observed that </w:t>
      </w:r>
      <w:r w:rsidR="0025337D">
        <w:t>the NR A-MPR behaves in a very similar manner in all</w:t>
      </w:r>
      <w:r w:rsidR="00B60CB7">
        <w:t xml:space="preserve"> simulated</w:t>
      </w:r>
      <w:r w:rsidR="0025337D">
        <w:t xml:space="preserve"> bandwidth combinations / modulations / access methods.</w:t>
      </w:r>
      <w:r w:rsidR="00100C8B">
        <w:t xml:space="preserve"> At narrow allocations, </w:t>
      </w:r>
      <w:r w:rsidR="000B711F">
        <w:t xml:space="preserve">NR A-MPR </w:t>
      </w:r>
      <w:r w:rsidR="00100C8B">
        <w:t xml:space="preserve">falls with growing DC allocation ratio, but becomes almost constant after a corner point, the location of which depends </w:t>
      </w:r>
      <w:r w:rsidR="000A374E">
        <w:t xml:space="preserve">somewhat </w:t>
      </w:r>
      <w:r w:rsidR="00100C8B">
        <w:t xml:space="preserve">on the </w:t>
      </w:r>
      <w:r w:rsidR="00D2589F">
        <w:t>bandwidth combination,</w:t>
      </w:r>
      <w:r w:rsidR="00100C8B">
        <w:t xml:space="preserve"> modulation and access method. In OFDM, modulation has </w:t>
      </w:r>
      <w:r w:rsidR="00AD09A8">
        <w:t>very l</w:t>
      </w:r>
      <w:r w:rsidR="00DA50A6">
        <w:t>ittle effect on NR A-MPR, and the difference is small also in DFT-S-OFDM.</w:t>
      </w:r>
    </w:p>
    <w:p w14:paraId="1862EA1B" w14:textId="7D32F328" w:rsidR="00100C8B" w:rsidRDefault="00334AEE" w:rsidP="00C96723">
      <w:r>
        <w:t>The plots can be divide</w:t>
      </w:r>
      <w:r w:rsidR="00FF4D27">
        <w:t>d</w:t>
      </w:r>
      <w:r>
        <w:t xml:space="preserve"> horizontally into two regions: the slope region</w:t>
      </w:r>
      <w:r w:rsidR="00697196">
        <w:t xml:space="preserve"> at A</w:t>
      </w:r>
      <w:r w:rsidR="00697196" w:rsidRPr="00263515">
        <w:rPr>
          <w:vertAlign w:val="subscript"/>
        </w:rPr>
        <w:t>DC</w:t>
      </w:r>
      <w:r w:rsidR="00697196">
        <w:t>&lt;A</w:t>
      </w:r>
      <w:r w:rsidR="00697196" w:rsidRPr="00263515">
        <w:rPr>
          <w:vertAlign w:val="subscript"/>
        </w:rPr>
        <w:t>BP</w:t>
      </w:r>
      <w:r w:rsidR="00697196">
        <w:t xml:space="preserve"> </w:t>
      </w:r>
      <w:r>
        <w:t xml:space="preserve"> and the plateau</w:t>
      </w:r>
      <w:r w:rsidR="00697196">
        <w:t xml:space="preserve"> at A</w:t>
      </w:r>
      <w:r w:rsidR="00697196" w:rsidRPr="00263515">
        <w:rPr>
          <w:vertAlign w:val="subscript"/>
        </w:rPr>
        <w:t>DC</w:t>
      </w:r>
      <w:r w:rsidR="00697196">
        <w:t>≥A</w:t>
      </w:r>
      <w:r w:rsidR="00697196" w:rsidRPr="00263515">
        <w:rPr>
          <w:vertAlign w:val="subscript"/>
        </w:rPr>
        <w:t>BP</w:t>
      </w:r>
      <w:r w:rsidR="00697196">
        <w:t>, where A</w:t>
      </w:r>
      <w:r w:rsidR="00697196" w:rsidRPr="00107B6D">
        <w:rPr>
          <w:vertAlign w:val="subscript"/>
        </w:rPr>
        <w:t>BP</w:t>
      </w:r>
      <w:r w:rsidR="00697196">
        <w:t xml:space="preserve"> is the breakpoint</w:t>
      </w:r>
      <w:r w:rsidR="00FE35CA">
        <w:t xml:space="preserve"> between the regions</w:t>
      </w:r>
      <w:r>
        <w:t>. We propose to specify a constant A-MPR</w:t>
      </w:r>
      <w:r w:rsidRPr="00334AEE">
        <w:rPr>
          <w:vertAlign w:val="subscript"/>
        </w:rPr>
        <w:t>DC</w:t>
      </w:r>
      <w:r>
        <w:t xml:space="preserve"> for both regions. Table 1 presents A-MPR</w:t>
      </w:r>
      <w:r w:rsidRPr="00334AEE">
        <w:rPr>
          <w:vertAlign w:val="subscript"/>
        </w:rPr>
        <w:t>DC</w:t>
      </w:r>
      <w:r>
        <w:t xml:space="preserve"> values for </w:t>
      </w:r>
      <w:r w:rsidRPr="00895F49">
        <w:t xml:space="preserve">three </w:t>
      </w:r>
      <w:r>
        <w:t>bandwidth combinations / orders of LTE and NR for a range of LTE power limits</w:t>
      </w:r>
      <w:r w:rsidR="00142030">
        <w:t>, including the region breakpoints A</w:t>
      </w:r>
      <w:r w:rsidR="00142030" w:rsidRPr="00263515">
        <w:rPr>
          <w:vertAlign w:val="subscript"/>
        </w:rPr>
        <w:t>BP</w:t>
      </w:r>
      <w:r>
        <w:t>.</w:t>
      </w:r>
      <w:r w:rsidR="00C726AC">
        <w:t xml:space="preserve"> The tabulated </w:t>
      </w:r>
      <w:r w:rsidR="00142030">
        <w:t xml:space="preserve">A-MPR </w:t>
      </w:r>
      <w:r w:rsidR="00C726AC">
        <w:t xml:space="preserve">values </w:t>
      </w:r>
      <w:r w:rsidR="00A37BFE">
        <w:t xml:space="preserve">apply to modulations from QPSK to 256-QAM. They </w:t>
      </w:r>
      <w:r w:rsidR="00C726AC">
        <w:t>contain a small safety margin in the order of 0.5 dB.</w:t>
      </w:r>
      <w:r>
        <w:t xml:space="preserve"> </w:t>
      </w:r>
      <w:r w:rsidR="000B4080">
        <w:t>At large DC allocation ratios, A-MPR</w:t>
      </w:r>
      <w:r w:rsidR="000B4080" w:rsidRPr="00334AEE">
        <w:rPr>
          <w:vertAlign w:val="subscript"/>
        </w:rPr>
        <w:t>DC</w:t>
      </w:r>
      <w:r w:rsidR="000B4080">
        <w:t xml:space="preserve"> is insensitive to the bandwidths and order of the carriers, but small DC allocation ratios exhibit a significant difference.</w:t>
      </w:r>
    </w:p>
    <w:p w14:paraId="307CAD7A" w14:textId="77777777" w:rsidR="00100C8B" w:rsidRPr="00C96723" w:rsidRDefault="00100C8B" w:rsidP="00C96723"/>
    <w:p w14:paraId="2B80909D" w14:textId="6239BD9A" w:rsidR="00D56291" w:rsidRDefault="00D56291" w:rsidP="001B31D3">
      <w:pPr>
        <w:keepNext/>
        <w:jc w:val="center"/>
      </w:pPr>
      <w:r w:rsidRPr="00C8530A">
        <w:rPr>
          <w:noProof/>
        </w:rPr>
        <w:drawing>
          <wp:inline distT="0" distB="0" distL="0" distR="0" wp14:anchorId="7E389D64" wp14:editId="5CFAF4AC">
            <wp:extent cx="2908800" cy="21816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800" cy="2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30A">
        <w:rPr>
          <w:noProof/>
        </w:rPr>
        <w:drawing>
          <wp:inline distT="0" distB="0" distL="0" distR="0" wp14:anchorId="22894154" wp14:editId="069BFB00">
            <wp:extent cx="2912400" cy="2181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400" cy="2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BA77E" w14:textId="4F925FBF" w:rsidR="00D56291" w:rsidRDefault="00D56291" w:rsidP="00D56291">
      <w:pPr>
        <w:jc w:val="center"/>
      </w:pPr>
      <w:r>
        <w:t>Figure 1: NR A-MPR as function of DC allocation ratio A</w:t>
      </w:r>
      <w:r w:rsidRPr="00D56291">
        <w:rPr>
          <w:vertAlign w:val="subscript"/>
        </w:rPr>
        <w:t>DC</w:t>
      </w:r>
      <w:r w:rsidR="00B724DA">
        <w:t xml:space="preserve"> for </w:t>
      </w:r>
      <w:r w:rsidR="000034FA">
        <w:t>LTE</w:t>
      </w:r>
      <w:r w:rsidR="00B6079B">
        <w:t xml:space="preserve"> 10 MHz channel below NR 10 MHz</w:t>
      </w:r>
      <w:r w:rsidR="003318E3">
        <w:t>.</w:t>
      </w:r>
      <w:r w:rsidR="00B724DA">
        <w:br/>
      </w:r>
      <w:r>
        <w:t>NR configured with QPSK and OFDM</w:t>
      </w:r>
      <w:r w:rsidR="00A41FA6">
        <w:t xml:space="preserve"> </w:t>
      </w:r>
      <w:r>
        <w:t>/</w:t>
      </w:r>
      <w:r w:rsidR="00A41FA6">
        <w:t xml:space="preserve"> </w:t>
      </w:r>
      <w:r>
        <w:t>DFT-S-OFDM</w:t>
      </w:r>
      <w:r w:rsidR="00A21DE1">
        <w:t>.</w:t>
      </w:r>
    </w:p>
    <w:p w14:paraId="68FF1DFC" w14:textId="77777777" w:rsidR="00D56291" w:rsidRDefault="00D56291" w:rsidP="00D56291">
      <w:pPr>
        <w:jc w:val="center"/>
      </w:pPr>
    </w:p>
    <w:p w14:paraId="46D0DB96" w14:textId="77777777" w:rsidR="00D56291" w:rsidRDefault="00D56291" w:rsidP="001B31D3">
      <w:pPr>
        <w:keepNext/>
        <w:jc w:val="center"/>
      </w:pPr>
      <w:r w:rsidRPr="006A38B6">
        <w:rPr>
          <w:noProof/>
        </w:rPr>
        <w:drawing>
          <wp:inline distT="0" distB="0" distL="0" distR="0" wp14:anchorId="5584F5EA" wp14:editId="68DAE57A">
            <wp:extent cx="2912400" cy="2181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400" cy="2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8B6">
        <w:rPr>
          <w:noProof/>
        </w:rPr>
        <w:drawing>
          <wp:inline distT="0" distB="0" distL="0" distR="0" wp14:anchorId="30A2607F" wp14:editId="605CC68B">
            <wp:extent cx="2912400" cy="2181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400" cy="2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83E31B" w14:textId="7487624E" w:rsidR="00473430" w:rsidRDefault="00473430" w:rsidP="00473430">
      <w:pPr>
        <w:jc w:val="center"/>
      </w:pPr>
      <w:r>
        <w:t xml:space="preserve">Figure </w:t>
      </w:r>
      <w:r w:rsidR="003D2CA7">
        <w:t>2</w:t>
      </w:r>
      <w:r>
        <w:t>: NR A-MPR as function of DC allocation ratio A</w:t>
      </w:r>
      <w:r w:rsidRPr="00D56291">
        <w:rPr>
          <w:vertAlign w:val="subscript"/>
        </w:rPr>
        <w:t>DC</w:t>
      </w:r>
      <w:r>
        <w:t xml:space="preserve"> for NR 10 MHz channel below LTE 10 MHz.</w:t>
      </w:r>
      <w:r>
        <w:br/>
        <w:t>NR configured with QPSK and OFDM</w:t>
      </w:r>
      <w:r w:rsidR="00A41FA6">
        <w:t xml:space="preserve"> </w:t>
      </w:r>
      <w:r>
        <w:t>/</w:t>
      </w:r>
      <w:r w:rsidR="00A41FA6">
        <w:t xml:space="preserve"> </w:t>
      </w:r>
      <w:r>
        <w:t>DFT-S-OFDM</w:t>
      </w:r>
      <w:r w:rsidR="00A21DE1">
        <w:t>.</w:t>
      </w:r>
    </w:p>
    <w:p w14:paraId="08D35329" w14:textId="2E29F315" w:rsidR="001167E6" w:rsidRDefault="001167E6" w:rsidP="00473430">
      <w:pPr>
        <w:jc w:val="center"/>
      </w:pPr>
    </w:p>
    <w:p w14:paraId="1A5F4665" w14:textId="77777777" w:rsidR="001167E6" w:rsidRDefault="001167E6" w:rsidP="00473430">
      <w:pPr>
        <w:jc w:val="center"/>
      </w:pPr>
    </w:p>
    <w:p w14:paraId="4D25C1B2" w14:textId="3C84A800" w:rsidR="003D2CA7" w:rsidRDefault="003D2CA7" w:rsidP="00473430">
      <w:pPr>
        <w:jc w:val="center"/>
      </w:pPr>
    </w:p>
    <w:p w14:paraId="216EFB9A" w14:textId="77777777" w:rsidR="003D2CA7" w:rsidRDefault="003D2CA7" w:rsidP="001B31D3">
      <w:pPr>
        <w:keepNext/>
        <w:jc w:val="center"/>
      </w:pPr>
      <w:r w:rsidRPr="006A38B6">
        <w:rPr>
          <w:noProof/>
        </w:rPr>
        <w:lastRenderedPageBreak/>
        <w:drawing>
          <wp:inline distT="0" distB="0" distL="0" distR="0" wp14:anchorId="39B70149" wp14:editId="3CB92C28">
            <wp:extent cx="2912400" cy="2181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400" cy="2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8B6">
        <w:rPr>
          <w:noProof/>
        </w:rPr>
        <w:drawing>
          <wp:inline distT="0" distB="0" distL="0" distR="0" wp14:anchorId="26DFBDD2" wp14:editId="7081D91C">
            <wp:extent cx="2912400" cy="2181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400" cy="2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DEAA1E" w14:textId="13E73892" w:rsidR="003D2CA7" w:rsidRDefault="003D2CA7" w:rsidP="003D2CA7">
      <w:pPr>
        <w:jc w:val="center"/>
      </w:pPr>
      <w:r>
        <w:t>Figure 3: NR A-MPR as function of DC allocation ratio A</w:t>
      </w:r>
      <w:r w:rsidRPr="00D56291">
        <w:rPr>
          <w:vertAlign w:val="subscript"/>
        </w:rPr>
        <w:t>DC</w:t>
      </w:r>
      <w:r>
        <w:t xml:space="preserve"> for NR 10 MHz channel below LTE 10 MHz.</w:t>
      </w:r>
      <w:r>
        <w:br/>
        <w:t xml:space="preserve">NR configured with </w:t>
      </w:r>
      <w:r w:rsidR="00722142">
        <w:t>256-QA</w:t>
      </w:r>
      <w:r>
        <w:t>M and OFDM / DFT-S-OFDM.</w:t>
      </w:r>
    </w:p>
    <w:p w14:paraId="2871E792" w14:textId="34CD9E29" w:rsidR="001167E6" w:rsidRDefault="001167E6" w:rsidP="003D2CA7">
      <w:pPr>
        <w:jc w:val="center"/>
      </w:pPr>
    </w:p>
    <w:p w14:paraId="684D4CCB" w14:textId="77777777" w:rsidR="001167E6" w:rsidRDefault="001167E6" w:rsidP="001167E6">
      <w:pPr>
        <w:jc w:val="center"/>
      </w:pPr>
      <w:r w:rsidRPr="00A0549E">
        <w:rPr>
          <w:noProof/>
        </w:rPr>
        <w:drawing>
          <wp:inline distT="0" distB="0" distL="0" distR="0" wp14:anchorId="7887FC1B" wp14:editId="13DF9B63">
            <wp:extent cx="2912400" cy="2181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400" cy="2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549E">
        <w:rPr>
          <w:noProof/>
        </w:rPr>
        <w:drawing>
          <wp:inline distT="0" distB="0" distL="0" distR="0" wp14:anchorId="0458D6F2" wp14:editId="5F3ABB4F">
            <wp:extent cx="2912400" cy="2181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400" cy="2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2E79C0" w14:textId="3E964E71" w:rsidR="001167E6" w:rsidRDefault="001167E6" w:rsidP="001167E6">
      <w:pPr>
        <w:jc w:val="center"/>
      </w:pPr>
      <w:r>
        <w:t>Figure 4: NR A-MPR as function of DC allocation ratio A</w:t>
      </w:r>
      <w:r w:rsidRPr="00D56291">
        <w:rPr>
          <w:vertAlign w:val="subscript"/>
        </w:rPr>
        <w:t>DC</w:t>
      </w:r>
      <w:r>
        <w:t xml:space="preserve"> for LTE 5 MHz channel below LTE 15 MHz.</w:t>
      </w:r>
      <w:r>
        <w:br/>
        <w:t xml:space="preserve">NR configured with </w:t>
      </w:r>
      <w:r w:rsidR="0004419E">
        <w:t xml:space="preserve">QPSK </w:t>
      </w:r>
      <w:r>
        <w:t>and OFDM / DFT-S-OFDM.</w:t>
      </w:r>
    </w:p>
    <w:p w14:paraId="274C1A9F" w14:textId="2DA609DF" w:rsidR="001F0204" w:rsidRDefault="001F0204" w:rsidP="001167E6">
      <w:pPr>
        <w:jc w:val="center"/>
      </w:pPr>
    </w:p>
    <w:p w14:paraId="7CBA1A7E" w14:textId="77777777" w:rsidR="001F0204" w:rsidRDefault="001F0204" w:rsidP="001F0204">
      <w:r w:rsidRPr="00F9023B">
        <w:rPr>
          <w:noProof/>
        </w:rPr>
        <w:drawing>
          <wp:inline distT="0" distB="0" distL="0" distR="0" wp14:anchorId="0A974ECF" wp14:editId="69B71890">
            <wp:extent cx="2912400" cy="21816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400" cy="2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023B">
        <w:rPr>
          <w:noProof/>
        </w:rPr>
        <w:drawing>
          <wp:inline distT="0" distB="0" distL="0" distR="0" wp14:anchorId="30364373" wp14:editId="2CC66546">
            <wp:extent cx="2912400" cy="21816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2400" cy="21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BDF1A4" w14:textId="5DD492D2" w:rsidR="001F0204" w:rsidRDefault="001F0204" w:rsidP="001F0204">
      <w:pPr>
        <w:jc w:val="center"/>
      </w:pPr>
      <w:r>
        <w:t>Figure 5: NR A-MPR as function of DC allocation ratio A</w:t>
      </w:r>
      <w:r w:rsidRPr="00D56291">
        <w:rPr>
          <w:vertAlign w:val="subscript"/>
        </w:rPr>
        <w:t>DC</w:t>
      </w:r>
      <w:r>
        <w:t xml:space="preserve"> for NR 15 MHz channel below LTE 5 MHz.</w:t>
      </w:r>
      <w:r>
        <w:br/>
        <w:t>NR configured with QPSK and OFDM / DFT-S-OFDM.</w:t>
      </w:r>
    </w:p>
    <w:p w14:paraId="55D58E1F" w14:textId="77777777" w:rsidR="001F0204" w:rsidRDefault="001F0204" w:rsidP="001167E6">
      <w:pPr>
        <w:jc w:val="center"/>
      </w:pPr>
    </w:p>
    <w:p w14:paraId="4F3967BB" w14:textId="77777777" w:rsidR="001167E6" w:rsidRDefault="001167E6" w:rsidP="00EB427C"/>
    <w:p w14:paraId="7E385934" w14:textId="7DA92CC8" w:rsidR="005169E9" w:rsidRPr="005169E9" w:rsidRDefault="005169E9" w:rsidP="005169E9">
      <w:pPr>
        <w:pStyle w:val="Caption"/>
        <w:keepNext/>
        <w:jc w:val="center"/>
        <w:rPr>
          <w:i w:val="0"/>
          <w:color w:val="000000" w:themeColor="text1"/>
        </w:rPr>
      </w:pPr>
      <w:r w:rsidRPr="005169E9">
        <w:rPr>
          <w:i w:val="0"/>
          <w:color w:val="000000" w:themeColor="text1"/>
        </w:rPr>
        <w:lastRenderedPageBreak/>
        <w:t>Table 1:</w:t>
      </w:r>
      <w:r>
        <w:rPr>
          <w:i w:val="0"/>
          <w:color w:val="000000" w:themeColor="text1"/>
        </w:rPr>
        <w:t xml:space="preserve"> Required A-MPR</w:t>
      </w:r>
      <w:r w:rsidRPr="005169E9">
        <w:rPr>
          <w:i w:val="0"/>
          <w:color w:val="000000" w:themeColor="text1"/>
          <w:vertAlign w:val="subscript"/>
        </w:rPr>
        <w:t>NR</w:t>
      </w:r>
      <w:r>
        <w:rPr>
          <w:i w:val="0"/>
          <w:color w:val="000000" w:themeColor="text1"/>
        </w:rPr>
        <w:t xml:space="preserve"> for example channel bandwidth combinations</w:t>
      </w:r>
    </w:p>
    <w:p w14:paraId="482DD5C7" w14:textId="2D080246" w:rsidR="003D2CA7" w:rsidRDefault="003D2CA7" w:rsidP="00263515"/>
    <w:tbl>
      <w:tblPr>
        <w:tblW w:w="8720" w:type="dxa"/>
        <w:jc w:val="center"/>
        <w:tblLook w:val="04A0" w:firstRow="1" w:lastRow="0" w:firstColumn="1" w:lastColumn="0" w:noHBand="0" w:noVBand="1"/>
      </w:tblPr>
      <w:tblGrid>
        <w:gridCol w:w="920"/>
        <w:gridCol w:w="920"/>
        <w:gridCol w:w="860"/>
        <w:gridCol w:w="860"/>
        <w:gridCol w:w="860"/>
        <w:gridCol w:w="860"/>
        <w:gridCol w:w="860"/>
        <w:gridCol w:w="860"/>
        <w:gridCol w:w="860"/>
        <w:gridCol w:w="860"/>
      </w:tblGrid>
      <w:tr w:rsidR="00931252" w:rsidRPr="00931252" w14:paraId="31337B03" w14:textId="77777777" w:rsidTr="00263515">
        <w:trPr>
          <w:trHeight w:val="705"/>
          <w:jc w:val="center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FC00E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7A73C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 </w:t>
            </w:r>
          </w:p>
        </w:tc>
        <w:tc>
          <w:tcPr>
            <w:tcW w:w="68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3793F2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Bandwidth combination /</w:t>
            </w:r>
            <w:r w:rsidRPr="00931252">
              <w:rPr>
                <w:rFonts w:ascii="Calibri" w:hAnsi="Calibri"/>
                <w:color w:val="000000"/>
                <w:lang w:val="en-US"/>
              </w:rPr>
              <w:br/>
              <w:t>access / A-MPR</w:t>
            </w:r>
            <w:r w:rsidRPr="00931252">
              <w:rPr>
                <w:rFonts w:ascii="Calibri" w:hAnsi="Calibri"/>
                <w:color w:val="000000"/>
                <w:vertAlign w:val="subscript"/>
                <w:lang w:val="en-US"/>
              </w:rPr>
              <w:t>NR</w:t>
            </w:r>
            <w:r w:rsidRPr="00931252">
              <w:rPr>
                <w:rFonts w:ascii="Calibri" w:hAnsi="Calibri"/>
                <w:color w:val="000000"/>
                <w:lang w:val="en-US"/>
              </w:rPr>
              <w:t xml:space="preserve">  [dB]</w:t>
            </w:r>
          </w:p>
        </w:tc>
      </w:tr>
      <w:tr w:rsidR="00931252" w:rsidRPr="00931252" w14:paraId="74ABD03B" w14:textId="77777777" w:rsidTr="00263515">
        <w:trPr>
          <w:trHeight w:val="60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3029A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77F9F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 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37E102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LTE5+NR5</w:t>
            </w:r>
            <w:r w:rsidRPr="00931252">
              <w:rPr>
                <w:rFonts w:ascii="Calibri" w:hAnsi="Calibri"/>
                <w:color w:val="000000"/>
                <w:lang w:val="en-US"/>
              </w:rPr>
              <w:br/>
              <w:t>NR5+LTE5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FF94C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LTE10+NR10</w:t>
            </w:r>
            <w:r w:rsidRPr="00931252">
              <w:rPr>
                <w:rFonts w:ascii="Calibri" w:hAnsi="Calibri"/>
                <w:color w:val="000000"/>
                <w:lang w:val="en-US"/>
              </w:rPr>
              <w:br/>
              <w:t>NR10+LTE10</w:t>
            </w:r>
          </w:p>
        </w:tc>
        <w:tc>
          <w:tcPr>
            <w:tcW w:w="1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7CB9DD8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LTE15+NR5</w:t>
            </w:r>
          </w:p>
        </w:tc>
        <w:tc>
          <w:tcPr>
            <w:tcW w:w="1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33B04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NR15+LTE5</w:t>
            </w:r>
          </w:p>
        </w:tc>
      </w:tr>
      <w:tr w:rsidR="00931252" w:rsidRPr="00931252" w14:paraId="69C24E00" w14:textId="77777777" w:rsidTr="00263515">
        <w:trPr>
          <w:trHeight w:val="540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06815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85E92F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P</w:t>
            </w:r>
            <w:r w:rsidRPr="00931252">
              <w:rPr>
                <w:rFonts w:ascii="Calibri" w:hAnsi="Calibri"/>
                <w:color w:val="000000"/>
                <w:vertAlign w:val="subscript"/>
                <w:lang w:val="en-US"/>
              </w:rPr>
              <w:t>max,LTE</w:t>
            </w:r>
            <w:r w:rsidRPr="00931252">
              <w:rPr>
                <w:rFonts w:ascii="Calibri" w:hAnsi="Calibri"/>
                <w:color w:val="000000"/>
                <w:lang w:val="en-US"/>
              </w:rPr>
              <w:br/>
              <w:t>[dBm]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F9E25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OFDM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2C4C3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DFT-S-</w:t>
            </w:r>
            <w:r w:rsidRPr="00931252">
              <w:rPr>
                <w:rFonts w:ascii="Calibri" w:hAnsi="Calibri"/>
                <w:color w:val="000000"/>
                <w:lang w:val="en-US"/>
              </w:rPr>
              <w:br/>
              <w:t>OFDM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F34614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OFDM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D453EB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DFT-S-</w:t>
            </w:r>
            <w:r w:rsidRPr="00931252">
              <w:rPr>
                <w:rFonts w:ascii="Calibri" w:hAnsi="Calibri"/>
                <w:color w:val="000000"/>
                <w:lang w:val="en-US"/>
              </w:rPr>
              <w:br/>
              <w:t>OFDM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A4325E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OFDM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2D0B60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DFT-S-</w:t>
            </w:r>
            <w:r w:rsidRPr="00931252">
              <w:rPr>
                <w:rFonts w:ascii="Calibri" w:hAnsi="Calibri"/>
                <w:color w:val="000000"/>
                <w:lang w:val="en-US"/>
              </w:rPr>
              <w:br/>
              <w:t>OFDM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A49CD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OFDM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E14D7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DFT-S-</w:t>
            </w:r>
            <w:r w:rsidRPr="00931252">
              <w:rPr>
                <w:rFonts w:ascii="Calibri" w:hAnsi="Calibri"/>
                <w:color w:val="000000"/>
                <w:lang w:val="en-US"/>
              </w:rPr>
              <w:br/>
              <w:t>OFDM</w:t>
            </w:r>
          </w:p>
        </w:tc>
      </w:tr>
      <w:tr w:rsidR="00931252" w:rsidRPr="00931252" w14:paraId="50B1A11B" w14:textId="77777777" w:rsidTr="00263515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7444B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A</w:t>
            </w:r>
            <w:r w:rsidRPr="00931252">
              <w:rPr>
                <w:rFonts w:ascii="Calibri" w:hAnsi="Calibri"/>
                <w:color w:val="000000"/>
                <w:vertAlign w:val="subscript"/>
                <w:lang w:val="en-US"/>
              </w:rPr>
              <w:t>BP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3D97A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AC3D6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0.45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7AA27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0.55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789F6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0.3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47C81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0.5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94E69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0.35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DB34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0.5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1130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0.35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73A3A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0.5</w:t>
            </w:r>
          </w:p>
        </w:tc>
      </w:tr>
      <w:tr w:rsidR="00931252" w:rsidRPr="00931252" w14:paraId="6CBD6FAF" w14:textId="77777777" w:rsidTr="00263515">
        <w:trPr>
          <w:trHeight w:val="285"/>
          <w:jc w:val="center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E6113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A</w:t>
            </w:r>
            <w:r w:rsidRPr="00931252">
              <w:rPr>
                <w:rFonts w:ascii="Calibri" w:hAnsi="Calibri"/>
                <w:color w:val="000000"/>
                <w:vertAlign w:val="subscript"/>
                <w:lang w:val="en-US"/>
              </w:rPr>
              <w:t>DC</w:t>
            </w:r>
            <w:r w:rsidRPr="00931252">
              <w:rPr>
                <w:rFonts w:ascii="Calibri" w:hAnsi="Calibri"/>
                <w:color w:val="000000"/>
                <w:lang w:val="en-US"/>
              </w:rPr>
              <w:t xml:space="preserve"> &lt; A</w:t>
            </w:r>
            <w:r w:rsidRPr="00931252">
              <w:rPr>
                <w:rFonts w:ascii="Calibri" w:hAnsi="Calibri"/>
                <w:color w:val="000000"/>
                <w:vertAlign w:val="subscript"/>
                <w:lang w:val="en-US"/>
              </w:rPr>
              <w:t>BP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EEB2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any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7DF82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4495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1F779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FB3A5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C736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64FA4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16.5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FDA0525" w14:textId="77777777" w:rsidR="00931252" w:rsidRPr="00263515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highlight w:val="yellow"/>
                <w:lang w:val="en-US"/>
              </w:rPr>
            </w:pPr>
            <w:r w:rsidRPr="00263515">
              <w:rPr>
                <w:rFonts w:ascii="Calibri" w:hAnsi="Calibri"/>
                <w:color w:val="000000"/>
                <w:highlight w:val="yellow"/>
                <w:lang w:val="en-US"/>
              </w:rPr>
              <w:t>22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A04299E" w14:textId="77777777" w:rsidR="00931252" w:rsidRPr="00263515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highlight w:val="yellow"/>
                <w:lang w:val="en-US"/>
              </w:rPr>
            </w:pPr>
            <w:r w:rsidRPr="00263515">
              <w:rPr>
                <w:rFonts w:ascii="Calibri" w:hAnsi="Calibri"/>
                <w:color w:val="000000"/>
                <w:highlight w:val="yellow"/>
                <w:lang w:val="en-US"/>
              </w:rPr>
              <w:t>22</w:t>
            </w:r>
          </w:p>
        </w:tc>
      </w:tr>
      <w:tr w:rsidR="00931252" w:rsidRPr="00931252" w14:paraId="2F5A4BC3" w14:textId="77777777" w:rsidTr="00263515">
        <w:trPr>
          <w:trHeight w:val="360"/>
          <w:jc w:val="center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726BE2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A</w:t>
            </w:r>
            <w:r w:rsidRPr="00931252">
              <w:rPr>
                <w:rFonts w:ascii="Calibri" w:hAnsi="Calibri"/>
                <w:color w:val="000000"/>
                <w:vertAlign w:val="subscript"/>
                <w:lang w:val="en-US"/>
              </w:rPr>
              <w:t>DC</w:t>
            </w:r>
            <w:r w:rsidRPr="00931252">
              <w:rPr>
                <w:rFonts w:ascii="Calibri" w:hAnsi="Calibri"/>
                <w:color w:val="000000"/>
                <w:lang w:val="en-US"/>
              </w:rPr>
              <w:t xml:space="preserve"> ≥ A</w:t>
            </w:r>
            <w:r w:rsidRPr="00931252">
              <w:rPr>
                <w:rFonts w:ascii="Calibri" w:hAnsi="Calibri"/>
                <w:color w:val="000000"/>
                <w:vertAlign w:val="subscript"/>
                <w:lang w:val="en-US"/>
              </w:rPr>
              <w:t>BP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198BD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22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D6A1F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EA79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BFB2D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B14F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1F3E0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16.5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5997E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16.5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E2455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16.5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49524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16.5</w:t>
            </w:r>
          </w:p>
        </w:tc>
      </w:tr>
      <w:tr w:rsidR="00931252" w:rsidRPr="00931252" w14:paraId="1EB48F7C" w14:textId="77777777" w:rsidTr="00263515">
        <w:trPr>
          <w:trHeight w:val="255"/>
          <w:jc w:val="center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94ED5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216CD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16CA5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1DC4C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11.5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D07E1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42C62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7B027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11.5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D8815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11.5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A6525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71C46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12</w:t>
            </w:r>
          </w:p>
        </w:tc>
      </w:tr>
      <w:tr w:rsidR="00931252" w:rsidRPr="00931252" w14:paraId="6852A258" w14:textId="77777777" w:rsidTr="00263515">
        <w:trPr>
          <w:trHeight w:val="255"/>
          <w:jc w:val="center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14AA9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FB3B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7C4FF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9.5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5E2E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C1C9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9.5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102E6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92B50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F7C46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8.5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F4599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DD2F4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9</w:t>
            </w:r>
          </w:p>
        </w:tc>
      </w:tr>
      <w:tr w:rsidR="00931252" w:rsidRPr="00931252" w14:paraId="483D5B7F" w14:textId="77777777" w:rsidTr="00263515">
        <w:trPr>
          <w:trHeight w:val="255"/>
          <w:jc w:val="center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B03A7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7F6E9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808EE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B8CD2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7.5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61F85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F2E0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7.5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9791A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7.5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7D2DA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7.5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0F16D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8.5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C2BC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7.5</w:t>
            </w:r>
          </w:p>
        </w:tc>
      </w:tr>
      <w:tr w:rsidR="00931252" w:rsidRPr="00931252" w14:paraId="4FFA38BA" w14:textId="77777777" w:rsidTr="00263515">
        <w:trPr>
          <w:trHeight w:val="255"/>
          <w:jc w:val="center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BEFA0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4BAD3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FE122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C9CD6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97C29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CF023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52DE2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DEF4D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2194A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7.5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10E31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6.5</w:t>
            </w:r>
          </w:p>
        </w:tc>
      </w:tr>
      <w:tr w:rsidR="00931252" w:rsidRPr="00931252" w14:paraId="754A23EA" w14:textId="77777777" w:rsidTr="00263515">
        <w:trPr>
          <w:trHeight w:val="255"/>
          <w:jc w:val="center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29FC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A9065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26975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5D29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5.5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6B574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BE887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5.5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3E29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190CC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5.5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CBD26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6.5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128E2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5.5</w:t>
            </w:r>
          </w:p>
        </w:tc>
      </w:tr>
      <w:tr w:rsidR="00931252" w:rsidRPr="00931252" w14:paraId="21D59787" w14:textId="77777777" w:rsidTr="00263515">
        <w:trPr>
          <w:trHeight w:val="255"/>
          <w:jc w:val="center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0C297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5FAFE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A9779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5.5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D573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4.5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641C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5.5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B5D03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4.5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C29EF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5.5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9A9B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4.5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EB8D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5.5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D3F63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4.5</w:t>
            </w:r>
          </w:p>
        </w:tc>
      </w:tr>
      <w:tr w:rsidR="00931252" w:rsidRPr="00931252" w14:paraId="05C4CE77" w14:textId="77777777" w:rsidTr="00263515">
        <w:trPr>
          <w:trHeight w:val="255"/>
          <w:jc w:val="center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2E971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4DE5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32CB8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5.5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78993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BA9F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5.5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54705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25BD0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5.5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21F7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8CDAE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5.5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77AF5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4</w:t>
            </w:r>
          </w:p>
        </w:tc>
      </w:tr>
      <w:tr w:rsidR="00931252" w:rsidRPr="00931252" w14:paraId="425DBE46" w14:textId="77777777" w:rsidTr="00263515">
        <w:trPr>
          <w:trHeight w:val="255"/>
          <w:jc w:val="center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16D51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Calibri" w:hAnsi="Calibri"/>
                <w:color w:val="00000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B9E36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14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32AA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94AE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3.5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1806B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88553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3.5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FB60A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78542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016D5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CBC3" w14:textId="77777777" w:rsidR="00931252" w:rsidRPr="00931252" w:rsidRDefault="00931252" w:rsidP="0093125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Calibri" w:hAnsi="Calibri"/>
                <w:color w:val="000000"/>
                <w:lang w:val="en-US"/>
              </w:rPr>
            </w:pPr>
            <w:r w:rsidRPr="00931252">
              <w:rPr>
                <w:rFonts w:ascii="Calibri" w:hAnsi="Calibri"/>
                <w:color w:val="000000"/>
                <w:lang w:val="en-US"/>
              </w:rPr>
              <w:t>3.5</w:t>
            </w:r>
          </w:p>
        </w:tc>
      </w:tr>
    </w:tbl>
    <w:p w14:paraId="274BF878" w14:textId="77777777" w:rsidR="00931252" w:rsidRDefault="00931252" w:rsidP="005169E9">
      <w:pPr>
        <w:jc w:val="center"/>
      </w:pPr>
    </w:p>
    <w:p w14:paraId="68EE96F4" w14:textId="77777777" w:rsidR="00D56291" w:rsidRDefault="00D56291" w:rsidP="00D56291"/>
    <w:p w14:paraId="7F89A481" w14:textId="5E78EE62" w:rsidR="006C69CD" w:rsidRDefault="006C69CD" w:rsidP="006C69CD"/>
    <w:p w14:paraId="705D8930" w14:textId="40FF6036" w:rsidR="004F42AB" w:rsidRDefault="004F42AB" w:rsidP="004F42AB">
      <w:pPr>
        <w:pStyle w:val="Heading1"/>
      </w:pPr>
      <w:r>
        <w:t>3</w:t>
      </w:r>
      <w:r>
        <w:tab/>
        <w:t>Conclusions</w:t>
      </w:r>
    </w:p>
    <w:p w14:paraId="4F64F12B" w14:textId="1D2848B8" w:rsidR="004F42AB" w:rsidRPr="006C69CD" w:rsidRDefault="00263515" w:rsidP="004F42AB">
      <w:r>
        <w:t>This contribution presents our simulation results for DC_(n)71AA A-MPR with an assumption that E-UTRA carrier follows E-UTRA standalone MPR.</w:t>
      </w:r>
      <w:r>
        <w:t xml:space="preserve"> We have also presented one way how the A-MPR could be specified in Table 1 although Table 1 data has much redundancy and could be compressed significantly.</w:t>
      </w:r>
      <w:bookmarkStart w:id="1" w:name="_GoBack"/>
      <w:bookmarkEnd w:id="1"/>
    </w:p>
    <w:p w14:paraId="30292A01" w14:textId="6DED3BA5" w:rsidR="006C69CD" w:rsidRDefault="008463DC" w:rsidP="00F628D7">
      <w:pPr>
        <w:pStyle w:val="Heading1"/>
      </w:pPr>
      <w:r>
        <w:t>Appendix: Simulation results</w:t>
      </w:r>
    </w:p>
    <w:p w14:paraId="2C94B86D" w14:textId="1DF9576C" w:rsidR="00C25D60" w:rsidRPr="00C25D60" w:rsidRDefault="003B276C" w:rsidP="00C25D60">
      <w:r>
        <w:t xml:space="preserve">The attached documents contain </w:t>
      </w:r>
      <w:r w:rsidR="00326D05">
        <w:t xml:space="preserve">A-MPR </w:t>
      </w:r>
      <w:r>
        <w:t>plots for QPSK, 16-QAM, 64-QAM, and 256-QAM / OFDM and DFT-S-OFDM.</w:t>
      </w:r>
    </w:p>
    <w:p w14:paraId="61413E89" w14:textId="365EDE2D" w:rsidR="00895F49" w:rsidRDefault="00895F49" w:rsidP="000B5E8E">
      <w:r>
        <w:object w:dxaOrig="4381" w:dyaOrig="811" w14:anchorId="41688D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pt;height:40.5pt" o:ole="">
            <v:imagedata r:id="rId17" o:title=""/>
          </v:shape>
          <o:OLEObject Type="Embed" ProgID="Package" ShapeID="_x0000_i1025" DrawAspect="Content" ObjectID="_1603363819" r:id="rId18"/>
        </w:object>
      </w:r>
      <w:r>
        <w:object w:dxaOrig="4381" w:dyaOrig="811" w14:anchorId="3E5097C6">
          <v:shape id="_x0000_i1026" type="#_x0000_t75" style="width:219pt;height:40.5pt" o:ole="">
            <v:imagedata r:id="rId19" o:title=""/>
          </v:shape>
          <o:OLEObject Type="Embed" ProgID="Package" ShapeID="_x0000_i1026" DrawAspect="Content" ObjectID="_1603363820" r:id="rId20"/>
        </w:object>
      </w:r>
    </w:p>
    <w:p w14:paraId="3B50350E" w14:textId="34DB6F15" w:rsidR="00C25D60" w:rsidRDefault="00EF72AF" w:rsidP="000B5E8E">
      <w:r>
        <w:object w:dxaOrig="4605" w:dyaOrig="811" w14:anchorId="202D44CC">
          <v:shape id="_x0000_i1027" type="#_x0000_t75" style="width:231pt;height:40.5pt" o:ole="">
            <v:imagedata r:id="rId21" o:title=""/>
          </v:shape>
          <o:OLEObject Type="Embed" ProgID="Package" ShapeID="_x0000_i1027" DrawAspect="Content" ObjectID="_1603363821" r:id="rId22"/>
        </w:object>
      </w:r>
      <w:r>
        <w:object w:dxaOrig="4605" w:dyaOrig="811" w14:anchorId="101302AE">
          <v:shape id="_x0000_i1028" type="#_x0000_t75" style="width:231pt;height:40.5pt" o:ole="">
            <v:imagedata r:id="rId23" o:title=""/>
          </v:shape>
          <o:OLEObject Type="Embed" ProgID="Package" ShapeID="_x0000_i1028" DrawAspect="Content" ObjectID="_1603363822" r:id="rId24"/>
        </w:object>
      </w:r>
    </w:p>
    <w:p w14:paraId="3FA41B2C" w14:textId="1338DB5A" w:rsidR="00EF72AF" w:rsidRDefault="00895F49" w:rsidP="000B5E8E">
      <w:r>
        <w:object w:dxaOrig="4500" w:dyaOrig="811" w14:anchorId="59C26F68">
          <v:shape id="_x0000_i1029" type="#_x0000_t75" style="width:225.5pt;height:40.5pt" o:ole="">
            <v:imagedata r:id="rId25" o:title=""/>
          </v:shape>
          <o:OLEObject Type="Embed" ProgID="Package" ShapeID="_x0000_i1029" DrawAspect="Content" ObjectID="_1603363823" r:id="rId26"/>
        </w:object>
      </w:r>
      <w:r w:rsidR="00EF72AF">
        <w:object w:dxaOrig="4500" w:dyaOrig="811" w14:anchorId="2659371E">
          <v:shape id="_x0000_i1030" type="#_x0000_t75" style="width:224.5pt;height:40.5pt" o:ole="">
            <v:imagedata r:id="rId27" o:title=""/>
          </v:shape>
          <o:OLEObject Type="Embed" ProgID="Package" ShapeID="_x0000_i1030" DrawAspect="Content" ObjectID="_1603363824" r:id="rId28"/>
        </w:object>
      </w:r>
    </w:p>
    <w:sectPr w:rsidR="00EF72AF">
      <w:headerReference w:type="even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E604E3" w14:textId="77777777" w:rsidR="00A3699D" w:rsidRDefault="00A3699D" w:rsidP="002B3503">
      <w:pPr>
        <w:spacing w:after="0"/>
      </w:pPr>
      <w:r>
        <w:separator/>
      </w:r>
    </w:p>
  </w:endnote>
  <w:endnote w:type="continuationSeparator" w:id="0">
    <w:p w14:paraId="43FF27BD" w14:textId="77777777" w:rsidR="00A3699D" w:rsidRDefault="00A3699D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778C1" w14:textId="77777777" w:rsidR="00A3699D" w:rsidRDefault="00A3699D" w:rsidP="002B3503">
      <w:pPr>
        <w:spacing w:after="0"/>
      </w:pPr>
      <w:r>
        <w:separator/>
      </w:r>
    </w:p>
  </w:footnote>
  <w:footnote w:type="continuationSeparator" w:id="0">
    <w:p w14:paraId="164E6040" w14:textId="77777777" w:rsidR="00A3699D" w:rsidRDefault="00A3699D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034FA"/>
    <w:rsid w:val="000364CE"/>
    <w:rsid w:val="0004419E"/>
    <w:rsid w:val="00070401"/>
    <w:rsid w:val="00091F0B"/>
    <w:rsid w:val="000926D3"/>
    <w:rsid w:val="000A374E"/>
    <w:rsid w:val="000A6473"/>
    <w:rsid w:val="000B3BF3"/>
    <w:rsid w:val="000B4080"/>
    <w:rsid w:val="000B4E56"/>
    <w:rsid w:val="000B5E8E"/>
    <w:rsid w:val="000B711F"/>
    <w:rsid w:val="000C4F05"/>
    <w:rsid w:val="000E3A09"/>
    <w:rsid w:val="000F2546"/>
    <w:rsid w:val="00100C8B"/>
    <w:rsid w:val="00101626"/>
    <w:rsid w:val="001030F7"/>
    <w:rsid w:val="001167E6"/>
    <w:rsid w:val="001364A1"/>
    <w:rsid w:val="00142030"/>
    <w:rsid w:val="0015000E"/>
    <w:rsid w:val="0016131F"/>
    <w:rsid w:val="001B31D3"/>
    <w:rsid w:val="001F0204"/>
    <w:rsid w:val="001F57AE"/>
    <w:rsid w:val="002127E2"/>
    <w:rsid w:val="00214C87"/>
    <w:rsid w:val="00215035"/>
    <w:rsid w:val="0025337D"/>
    <w:rsid w:val="00263515"/>
    <w:rsid w:val="00291DDD"/>
    <w:rsid w:val="00296379"/>
    <w:rsid w:val="002A7181"/>
    <w:rsid w:val="002B3503"/>
    <w:rsid w:val="002F6A38"/>
    <w:rsid w:val="0030203D"/>
    <w:rsid w:val="00326D05"/>
    <w:rsid w:val="003318E3"/>
    <w:rsid w:val="00334AEE"/>
    <w:rsid w:val="00347DEA"/>
    <w:rsid w:val="0036413F"/>
    <w:rsid w:val="003777FE"/>
    <w:rsid w:val="003B276C"/>
    <w:rsid w:val="003D2CA7"/>
    <w:rsid w:val="003D4521"/>
    <w:rsid w:val="0042109F"/>
    <w:rsid w:val="0042397F"/>
    <w:rsid w:val="0043450E"/>
    <w:rsid w:val="00453BA5"/>
    <w:rsid w:val="00454E53"/>
    <w:rsid w:val="00463263"/>
    <w:rsid w:val="00473430"/>
    <w:rsid w:val="00482477"/>
    <w:rsid w:val="00491386"/>
    <w:rsid w:val="00494F18"/>
    <w:rsid w:val="004A41DA"/>
    <w:rsid w:val="004C0103"/>
    <w:rsid w:val="004C58F9"/>
    <w:rsid w:val="004D0C67"/>
    <w:rsid w:val="004D3D81"/>
    <w:rsid w:val="004F42AB"/>
    <w:rsid w:val="005169E9"/>
    <w:rsid w:val="00527FC0"/>
    <w:rsid w:val="00560A63"/>
    <w:rsid w:val="00564B2E"/>
    <w:rsid w:val="00570B14"/>
    <w:rsid w:val="00570DE8"/>
    <w:rsid w:val="005B2640"/>
    <w:rsid w:val="005F4C5E"/>
    <w:rsid w:val="005F6CE3"/>
    <w:rsid w:val="00602EB6"/>
    <w:rsid w:val="00613730"/>
    <w:rsid w:val="00641C2E"/>
    <w:rsid w:val="0066148A"/>
    <w:rsid w:val="00697196"/>
    <w:rsid w:val="006A1BDF"/>
    <w:rsid w:val="006C6840"/>
    <w:rsid w:val="006C69CD"/>
    <w:rsid w:val="006E6E83"/>
    <w:rsid w:val="00722142"/>
    <w:rsid w:val="00726265"/>
    <w:rsid w:val="0073142D"/>
    <w:rsid w:val="00734EBD"/>
    <w:rsid w:val="00796630"/>
    <w:rsid w:val="007D20DF"/>
    <w:rsid w:val="007E0F07"/>
    <w:rsid w:val="007F459E"/>
    <w:rsid w:val="00811B9E"/>
    <w:rsid w:val="008236E4"/>
    <w:rsid w:val="008443E2"/>
    <w:rsid w:val="008463DC"/>
    <w:rsid w:val="00850296"/>
    <w:rsid w:val="00850435"/>
    <w:rsid w:val="00895F49"/>
    <w:rsid w:val="008A4493"/>
    <w:rsid w:val="008D6648"/>
    <w:rsid w:val="008E1B95"/>
    <w:rsid w:val="008E3896"/>
    <w:rsid w:val="0091383D"/>
    <w:rsid w:val="00931252"/>
    <w:rsid w:val="00940559"/>
    <w:rsid w:val="00996062"/>
    <w:rsid w:val="009B1E68"/>
    <w:rsid w:val="009F028A"/>
    <w:rsid w:val="00A07CAC"/>
    <w:rsid w:val="00A13DD9"/>
    <w:rsid w:val="00A21DE1"/>
    <w:rsid w:val="00A3699D"/>
    <w:rsid w:val="00A37BFE"/>
    <w:rsid w:val="00A41FA6"/>
    <w:rsid w:val="00A43CE4"/>
    <w:rsid w:val="00A451E8"/>
    <w:rsid w:val="00A6018C"/>
    <w:rsid w:val="00A83F3A"/>
    <w:rsid w:val="00AA2580"/>
    <w:rsid w:val="00AD09A8"/>
    <w:rsid w:val="00AE6327"/>
    <w:rsid w:val="00AF72B6"/>
    <w:rsid w:val="00B4385F"/>
    <w:rsid w:val="00B6079B"/>
    <w:rsid w:val="00B60CB7"/>
    <w:rsid w:val="00B65B59"/>
    <w:rsid w:val="00B724DA"/>
    <w:rsid w:val="00B823D4"/>
    <w:rsid w:val="00BC764C"/>
    <w:rsid w:val="00BF2656"/>
    <w:rsid w:val="00BF4B17"/>
    <w:rsid w:val="00C21554"/>
    <w:rsid w:val="00C25D60"/>
    <w:rsid w:val="00C726AC"/>
    <w:rsid w:val="00C96723"/>
    <w:rsid w:val="00D2589F"/>
    <w:rsid w:val="00D275CC"/>
    <w:rsid w:val="00D33BCC"/>
    <w:rsid w:val="00D36740"/>
    <w:rsid w:val="00D46E74"/>
    <w:rsid w:val="00D56291"/>
    <w:rsid w:val="00D74D50"/>
    <w:rsid w:val="00D767C4"/>
    <w:rsid w:val="00D77CF5"/>
    <w:rsid w:val="00D870BB"/>
    <w:rsid w:val="00DA50A6"/>
    <w:rsid w:val="00DC5661"/>
    <w:rsid w:val="00DD181C"/>
    <w:rsid w:val="00E20A86"/>
    <w:rsid w:val="00E33B68"/>
    <w:rsid w:val="00E47EDF"/>
    <w:rsid w:val="00E63CC9"/>
    <w:rsid w:val="00E962C5"/>
    <w:rsid w:val="00EA3488"/>
    <w:rsid w:val="00EB427C"/>
    <w:rsid w:val="00EB5F7D"/>
    <w:rsid w:val="00EC589F"/>
    <w:rsid w:val="00EF0B00"/>
    <w:rsid w:val="00EF72AF"/>
    <w:rsid w:val="00F06320"/>
    <w:rsid w:val="00F46800"/>
    <w:rsid w:val="00F47731"/>
    <w:rsid w:val="00F57E7A"/>
    <w:rsid w:val="00F628D7"/>
    <w:rsid w:val="00F77318"/>
    <w:rsid w:val="00F97D64"/>
    <w:rsid w:val="00FD085A"/>
    <w:rsid w:val="00FD543C"/>
    <w:rsid w:val="00FE35CA"/>
    <w:rsid w:val="00FF4D27"/>
    <w:rsid w:val="00FF5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265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BF26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F26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F26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F26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F26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F2656"/>
    <w:pPr>
      <w:outlineLvl w:val="5"/>
    </w:pPr>
  </w:style>
  <w:style w:type="paragraph" w:styleId="Heading7">
    <w:name w:val="heading 7"/>
    <w:basedOn w:val="H6"/>
    <w:next w:val="Normal"/>
    <w:qFormat/>
    <w:rsid w:val="00BF2656"/>
    <w:pPr>
      <w:outlineLvl w:val="6"/>
    </w:pPr>
  </w:style>
  <w:style w:type="paragraph" w:styleId="Heading8">
    <w:name w:val="heading 8"/>
    <w:basedOn w:val="Heading1"/>
    <w:next w:val="Normal"/>
    <w:qFormat/>
    <w:rsid w:val="00BF265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F2656"/>
    <w:pPr>
      <w:outlineLvl w:val="8"/>
    </w:pPr>
  </w:style>
  <w:style w:type="character" w:default="1" w:styleId="DefaultParagraphFont">
    <w:name w:val="Default Paragraph Font"/>
    <w:semiHidden/>
    <w:rsid w:val="00BF265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F2656"/>
  </w:style>
  <w:style w:type="paragraph" w:styleId="TOC8">
    <w:name w:val="toc 8"/>
    <w:basedOn w:val="TOC1"/>
    <w:semiHidden/>
    <w:rsid w:val="00BF2656"/>
    <w:pPr>
      <w:spacing w:before="180"/>
      <w:ind w:left="2693" w:hanging="2693"/>
    </w:pPr>
    <w:rPr>
      <w:b/>
    </w:rPr>
  </w:style>
  <w:style w:type="paragraph" w:styleId="TOC1">
    <w:name w:val="toc 1"/>
    <w:semiHidden/>
    <w:rsid w:val="00BF26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BF26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F2656"/>
    <w:pPr>
      <w:ind w:left="1701" w:hanging="1701"/>
    </w:pPr>
  </w:style>
  <w:style w:type="paragraph" w:styleId="TOC4">
    <w:name w:val="toc 4"/>
    <w:basedOn w:val="TOC3"/>
    <w:semiHidden/>
    <w:rsid w:val="00BF2656"/>
    <w:pPr>
      <w:ind w:left="1418" w:hanging="1418"/>
    </w:pPr>
  </w:style>
  <w:style w:type="paragraph" w:styleId="TOC3">
    <w:name w:val="toc 3"/>
    <w:basedOn w:val="TOC2"/>
    <w:semiHidden/>
    <w:rsid w:val="00BF2656"/>
    <w:pPr>
      <w:ind w:left="1134" w:hanging="1134"/>
    </w:pPr>
  </w:style>
  <w:style w:type="paragraph" w:styleId="TOC2">
    <w:name w:val="toc 2"/>
    <w:basedOn w:val="TOC1"/>
    <w:semiHidden/>
    <w:rsid w:val="00BF26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F2656"/>
    <w:pPr>
      <w:ind w:left="284"/>
    </w:pPr>
  </w:style>
  <w:style w:type="paragraph" w:styleId="Index1">
    <w:name w:val="index 1"/>
    <w:basedOn w:val="Normal"/>
    <w:semiHidden/>
    <w:rsid w:val="00BF2656"/>
    <w:pPr>
      <w:keepLines/>
      <w:spacing w:after="0"/>
    </w:pPr>
  </w:style>
  <w:style w:type="paragraph" w:customStyle="1" w:styleId="ZH">
    <w:name w:val="ZH"/>
    <w:rsid w:val="00BF26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BF2656"/>
    <w:pPr>
      <w:outlineLvl w:val="9"/>
    </w:pPr>
  </w:style>
  <w:style w:type="paragraph" w:styleId="ListNumber2">
    <w:name w:val="List Number 2"/>
    <w:basedOn w:val="ListNumber"/>
    <w:semiHidden/>
    <w:rsid w:val="00BF265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BF26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BF2656"/>
    <w:rPr>
      <w:b/>
      <w:position w:val="6"/>
      <w:sz w:val="16"/>
    </w:rPr>
  </w:style>
  <w:style w:type="paragraph" w:styleId="FootnoteText">
    <w:name w:val="footnote text"/>
    <w:basedOn w:val="Normal"/>
    <w:semiHidden/>
    <w:rsid w:val="00BF265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F2656"/>
    <w:rPr>
      <w:b/>
    </w:rPr>
  </w:style>
  <w:style w:type="paragraph" w:customStyle="1" w:styleId="TAC">
    <w:name w:val="TAC"/>
    <w:basedOn w:val="TAL"/>
    <w:link w:val="TACChar"/>
    <w:rsid w:val="00BF2656"/>
    <w:pPr>
      <w:jc w:val="center"/>
    </w:pPr>
  </w:style>
  <w:style w:type="paragraph" w:customStyle="1" w:styleId="TF">
    <w:name w:val="TF"/>
    <w:basedOn w:val="TH"/>
    <w:rsid w:val="00BF2656"/>
    <w:pPr>
      <w:keepNext w:val="0"/>
      <w:spacing w:before="0" w:after="240"/>
    </w:pPr>
  </w:style>
  <w:style w:type="paragraph" w:customStyle="1" w:styleId="NO">
    <w:name w:val="NO"/>
    <w:basedOn w:val="Normal"/>
    <w:rsid w:val="00BF2656"/>
    <w:pPr>
      <w:keepLines/>
      <w:ind w:left="1135" w:hanging="851"/>
    </w:pPr>
  </w:style>
  <w:style w:type="paragraph" w:styleId="TOC9">
    <w:name w:val="toc 9"/>
    <w:basedOn w:val="TOC8"/>
    <w:semiHidden/>
    <w:rsid w:val="00BF2656"/>
    <w:pPr>
      <w:ind w:left="1418" w:hanging="1418"/>
    </w:pPr>
  </w:style>
  <w:style w:type="paragraph" w:customStyle="1" w:styleId="EX">
    <w:name w:val="EX"/>
    <w:basedOn w:val="Normal"/>
    <w:rsid w:val="00BF2656"/>
    <w:pPr>
      <w:keepLines/>
      <w:ind w:left="1702" w:hanging="1418"/>
    </w:pPr>
  </w:style>
  <w:style w:type="paragraph" w:customStyle="1" w:styleId="FP">
    <w:name w:val="FP"/>
    <w:basedOn w:val="Normal"/>
    <w:rsid w:val="00BF2656"/>
    <w:pPr>
      <w:spacing w:after="0"/>
    </w:pPr>
  </w:style>
  <w:style w:type="paragraph" w:customStyle="1" w:styleId="LD">
    <w:name w:val="LD"/>
    <w:rsid w:val="00BF26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BF2656"/>
    <w:pPr>
      <w:spacing w:after="0"/>
    </w:pPr>
  </w:style>
  <w:style w:type="paragraph" w:customStyle="1" w:styleId="EW">
    <w:name w:val="EW"/>
    <w:basedOn w:val="EX"/>
    <w:rsid w:val="00BF2656"/>
    <w:pPr>
      <w:spacing w:after="0"/>
    </w:pPr>
  </w:style>
  <w:style w:type="paragraph" w:styleId="TOC6">
    <w:name w:val="toc 6"/>
    <w:basedOn w:val="TOC5"/>
    <w:next w:val="Normal"/>
    <w:semiHidden/>
    <w:rsid w:val="00BF2656"/>
    <w:pPr>
      <w:ind w:left="1985" w:hanging="1985"/>
    </w:pPr>
  </w:style>
  <w:style w:type="paragraph" w:styleId="TOC7">
    <w:name w:val="toc 7"/>
    <w:basedOn w:val="TOC6"/>
    <w:next w:val="Normal"/>
    <w:semiHidden/>
    <w:rsid w:val="00BF2656"/>
    <w:pPr>
      <w:ind w:left="2268" w:hanging="2268"/>
    </w:pPr>
  </w:style>
  <w:style w:type="paragraph" w:styleId="ListBullet2">
    <w:name w:val="List Bullet 2"/>
    <w:basedOn w:val="ListBullet"/>
    <w:semiHidden/>
    <w:rsid w:val="00BF2656"/>
    <w:pPr>
      <w:ind w:left="851"/>
    </w:pPr>
  </w:style>
  <w:style w:type="paragraph" w:styleId="ListBullet3">
    <w:name w:val="List Bullet 3"/>
    <w:basedOn w:val="ListBullet2"/>
    <w:semiHidden/>
    <w:rsid w:val="00BF2656"/>
    <w:pPr>
      <w:ind w:left="1135"/>
    </w:pPr>
  </w:style>
  <w:style w:type="paragraph" w:styleId="ListNumber">
    <w:name w:val="List Number"/>
    <w:basedOn w:val="List"/>
    <w:semiHidden/>
    <w:rsid w:val="00BF2656"/>
  </w:style>
  <w:style w:type="paragraph" w:customStyle="1" w:styleId="EQ">
    <w:name w:val="EQ"/>
    <w:basedOn w:val="Normal"/>
    <w:next w:val="Normal"/>
    <w:rsid w:val="00BF265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F265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F265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F265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BF2656"/>
    <w:pPr>
      <w:jc w:val="right"/>
    </w:pPr>
  </w:style>
  <w:style w:type="paragraph" w:customStyle="1" w:styleId="H6">
    <w:name w:val="H6"/>
    <w:basedOn w:val="Heading5"/>
    <w:next w:val="Normal"/>
    <w:rsid w:val="00BF265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F2656"/>
    <w:pPr>
      <w:ind w:left="851" w:hanging="851"/>
    </w:pPr>
  </w:style>
  <w:style w:type="paragraph" w:customStyle="1" w:styleId="TAL">
    <w:name w:val="TAL"/>
    <w:basedOn w:val="Normal"/>
    <w:rsid w:val="00BF265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F26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BF26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BF26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BF26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BF2656"/>
    <w:pPr>
      <w:framePr w:wrap="notBeside" w:y="16161"/>
    </w:pPr>
  </w:style>
  <w:style w:type="character" w:customStyle="1" w:styleId="ZGSM">
    <w:name w:val="ZGSM"/>
    <w:rsid w:val="00BF2656"/>
  </w:style>
  <w:style w:type="paragraph" w:styleId="List2">
    <w:name w:val="List 2"/>
    <w:basedOn w:val="List"/>
    <w:semiHidden/>
    <w:rsid w:val="00BF2656"/>
    <w:pPr>
      <w:ind w:left="851"/>
    </w:pPr>
  </w:style>
  <w:style w:type="paragraph" w:customStyle="1" w:styleId="ZG">
    <w:name w:val="ZG"/>
    <w:rsid w:val="00BF26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BF2656"/>
    <w:pPr>
      <w:ind w:left="1135"/>
    </w:pPr>
  </w:style>
  <w:style w:type="paragraph" w:styleId="List4">
    <w:name w:val="List 4"/>
    <w:basedOn w:val="List3"/>
    <w:semiHidden/>
    <w:rsid w:val="00BF2656"/>
    <w:pPr>
      <w:ind w:left="1418"/>
    </w:pPr>
  </w:style>
  <w:style w:type="paragraph" w:styleId="List5">
    <w:name w:val="List 5"/>
    <w:basedOn w:val="List4"/>
    <w:semiHidden/>
    <w:rsid w:val="00BF2656"/>
    <w:pPr>
      <w:ind w:left="1702"/>
    </w:pPr>
  </w:style>
  <w:style w:type="paragraph" w:customStyle="1" w:styleId="EditorsNote">
    <w:name w:val="Editor's Note"/>
    <w:basedOn w:val="NO"/>
    <w:rsid w:val="00BF2656"/>
    <w:rPr>
      <w:color w:val="FF0000"/>
    </w:rPr>
  </w:style>
  <w:style w:type="paragraph" w:styleId="List">
    <w:name w:val="List"/>
    <w:basedOn w:val="Normal"/>
    <w:semiHidden/>
    <w:rsid w:val="00BF2656"/>
    <w:pPr>
      <w:ind w:left="568" w:hanging="284"/>
    </w:pPr>
  </w:style>
  <w:style w:type="paragraph" w:styleId="ListBullet">
    <w:name w:val="List Bullet"/>
    <w:basedOn w:val="List"/>
    <w:semiHidden/>
    <w:rsid w:val="00BF2656"/>
  </w:style>
  <w:style w:type="paragraph" w:styleId="ListBullet4">
    <w:name w:val="List Bullet 4"/>
    <w:basedOn w:val="ListBullet3"/>
    <w:semiHidden/>
    <w:rsid w:val="00BF2656"/>
    <w:pPr>
      <w:ind w:left="1418"/>
    </w:pPr>
  </w:style>
  <w:style w:type="paragraph" w:styleId="ListBullet5">
    <w:name w:val="List Bullet 5"/>
    <w:basedOn w:val="ListBullet4"/>
    <w:semiHidden/>
    <w:rsid w:val="00BF2656"/>
    <w:pPr>
      <w:ind w:left="1702"/>
    </w:pPr>
  </w:style>
  <w:style w:type="paragraph" w:customStyle="1" w:styleId="B1">
    <w:name w:val="B1"/>
    <w:basedOn w:val="List"/>
    <w:rsid w:val="00BF2656"/>
  </w:style>
  <w:style w:type="paragraph" w:customStyle="1" w:styleId="B2">
    <w:name w:val="B2"/>
    <w:basedOn w:val="List2"/>
    <w:rsid w:val="00BF2656"/>
  </w:style>
  <w:style w:type="paragraph" w:customStyle="1" w:styleId="B3">
    <w:name w:val="B3"/>
    <w:basedOn w:val="List3"/>
    <w:rsid w:val="00BF2656"/>
  </w:style>
  <w:style w:type="paragraph" w:customStyle="1" w:styleId="B4">
    <w:name w:val="B4"/>
    <w:basedOn w:val="List4"/>
    <w:rsid w:val="00BF2656"/>
  </w:style>
  <w:style w:type="paragraph" w:customStyle="1" w:styleId="B5">
    <w:name w:val="B5"/>
    <w:basedOn w:val="List5"/>
    <w:rsid w:val="00BF2656"/>
  </w:style>
  <w:style w:type="paragraph" w:styleId="Footer">
    <w:name w:val="footer"/>
    <w:basedOn w:val="Header"/>
    <w:semiHidden/>
    <w:rsid w:val="00BF2656"/>
    <w:pPr>
      <w:jc w:val="center"/>
    </w:pPr>
    <w:rPr>
      <w:i/>
    </w:rPr>
  </w:style>
  <w:style w:type="paragraph" w:customStyle="1" w:styleId="ZTD">
    <w:name w:val="ZTD"/>
    <w:basedOn w:val="ZB"/>
    <w:rsid w:val="00BF265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8504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9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18" Type="http://schemas.openxmlformats.org/officeDocument/2006/relationships/oleObject" Target="embeddings/oleObject1.bin"/><Relationship Id="rId26" Type="http://schemas.openxmlformats.org/officeDocument/2006/relationships/oleObject" Target="embeddings/oleObject5.bin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image" Target="media/image11.emf"/><Relationship Id="rId25" Type="http://schemas.openxmlformats.org/officeDocument/2006/relationships/image" Target="media/image15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oleObject" Target="embeddings/oleObject2.bin"/><Relationship Id="rId29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oleObject" Target="embeddings/oleObject4.bin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4.emf"/><Relationship Id="rId28" Type="http://schemas.openxmlformats.org/officeDocument/2006/relationships/oleObject" Target="embeddings/oleObject6.bin"/><Relationship Id="rId10" Type="http://schemas.openxmlformats.org/officeDocument/2006/relationships/image" Target="media/image4.emf"/><Relationship Id="rId19" Type="http://schemas.openxmlformats.org/officeDocument/2006/relationships/image" Target="media/image12.e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oleObject" Target="embeddings/oleObject3.bin"/><Relationship Id="rId27" Type="http://schemas.openxmlformats.org/officeDocument/2006/relationships/image" Target="media/image16.emf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553</Words>
  <Characters>4483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5026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Changes in RAN4#89 by Nokia</cp:lastModifiedBy>
  <cp:revision>3</cp:revision>
  <cp:lastPrinted>1899-12-31T22:00:00Z</cp:lastPrinted>
  <dcterms:created xsi:type="dcterms:W3CDTF">2018-11-10T11:42:00Z</dcterms:created>
  <dcterms:modified xsi:type="dcterms:W3CDTF">2018-11-10T11:46:00Z</dcterms:modified>
</cp:coreProperties>
</file>